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CE6" w:rsidRPr="0056302D" w:rsidRDefault="00457CE6" w:rsidP="0056302D">
      <w:pPr>
        <w:pStyle w:val="Cmsor1"/>
      </w:pPr>
      <w:r w:rsidRPr="003976F8">
        <w:t>P</w:t>
      </w:r>
      <w:bookmarkStart w:id="0" w:name="_GoBack"/>
      <w:bookmarkEnd w:id="0"/>
      <w:r w:rsidRPr="003976F8">
        <w:t>rtnerekhez köthető magánszemélyek adatainak (nem struktúrált) nyilvántartása</w:t>
      </w:r>
      <w:r w:rsidRPr="0056302D">
        <w:t xml:space="preserve"> - adatkezelési tájékoztató</w:t>
      </w:r>
    </w:p>
    <w:p w:rsidR="00457CE6" w:rsidRPr="00CD7A05" w:rsidRDefault="00457CE6" w:rsidP="00281303">
      <w:pPr>
        <w:pStyle w:val="Cmsor2"/>
      </w:pPr>
      <w:r w:rsidRPr="00CD7A05">
        <w:t xml:space="preserve">ÁLTALÁNOS </w:t>
      </w:r>
      <w:r w:rsidRPr="000F42B2">
        <w:t>RENDELKEZÉSEK</w:t>
      </w:r>
    </w:p>
    <w:p w:rsidR="00457CE6" w:rsidRDefault="00457CE6" w:rsidP="00D533CF">
      <w:pPr>
        <w:rPr>
          <w:rFonts w:cstheme="minorHAnsi"/>
          <w:color w:val="000000"/>
        </w:rPr>
      </w:pPr>
      <w:r>
        <w:rPr>
          <w:rFonts w:cs="Calibri"/>
        </w:rPr>
        <w:t xml:space="preserve">Jelen Különös Adatkezelési Tájékoztató kiegészíti a </w:t>
      </w:r>
      <w:r w:rsidR="00A8690C">
        <w:rPr>
          <w:rFonts w:cs="Calibri"/>
        </w:rPr>
        <w:t>Színház és Filmművészeti Egyetem</w:t>
      </w:r>
      <w:r>
        <w:rPr>
          <w:rFonts w:cs="Calibri"/>
        </w:rPr>
        <w:t xml:space="preserve"> (a továbbiakban Egyetem) </w:t>
      </w:r>
      <w:r w:rsidRPr="005770DD">
        <w:rPr>
          <w:rFonts w:cstheme="minorHAnsi"/>
          <w:color w:val="000000"/>
        </w:rPr>
        <w:t>Általános Adatkezelési Tájékoztató</w:t>
      </w:r>
      <w:r>
        <w:rPr>
          <w:rFonts w:cstheme="minorHAnsi"/>
          <w:color w:val="000000"/>
        </w:rPr>
        <w:t xml:space="preserve">ját </w:t>
      </w:r>
      <w:r w:rsidRPr="003976F8">
        <w:rPr>
          <w:rFonts w:cstheme="minorHAnsi"/>
          <w:b/>
          <w:bCs/>
          <w:noProof/>
          <w:color w:val="000000"/>
        </w:rPr>
        <w:t>Partnerekhez köthető magánszemélyek adatainak (nem struktúrált) nyilvántartása</w:t>
      </w:r>
      <w:r w:rsidRPr="00D533CF">
        <w:rPr>
          <w:rFonts w:cstheme="minorHAnsi"/>
          <w:b/>
          <w:bCs/>
          <w:color w:val="000000"/>
        </w:rPr>
        <w:t xml:space="preserve"> </w:t>
      </w:r>
      <w:r>
        <w:rPr>
          <w:rFonts w:cstheme="minorHAnsi"/>
          <w:color w:val="000000"/>
        </w:rPr>
        <w:t xml:space="preserve">tárgyú adatkezelés tekintetében. Jelen Különös Adatkezelési Tájékoztatót az </w:t>
      </w:r>
      <w:r w:rsidRPr="005770DD">
        <w:rPr>
          <w:rFonts w:cstheme="minorHAnsi"/>
          <w:color w:val="000000"/>
        </w:rPr>
        <w:t>Általános Adatkezelési Tájékoztató</w:t>
      </w:r>
      <w:r>
        <w:rPr>
          <w:rFonts w:cstheme="minorHAnsi"/>
          <w:color w:val="000000"/>
        </w:rPr>
        <w:t xml:space="preserve">val együtt kell kezelni és értelmezni. </w:t>
      </w:r>
    </w:p>
    <w:p w:rsidR="00457CE6" w:rsidRDefault="00457CE6" w:rsidP="00D533CF">
      <w:pPr>
        <w:rPr>
          <w:rFonts w:cstheme="minorHAnsi"/>
          <w:color w:val="000000"/>
        </w:rPr>
      </w:pPr>
      <w:r w:rsidRPr="000E2CAD">
        <w:rPr>
          <w:rFonts w:cstheme="minorHAnsi"/>
          <w:color w:val="000000"/>
        </w:rPr>
        <w:t>Az ált</w:t>
      </w:r>
      <w:r>
        <w:rPr>
          <w:rFonts w:cstheme="minorHAnsi"/>
          <w:color w:val="000000"/>
        </w:rPr>
        <w:t xml:space="preserve">alános adatkezelési tájékoztató </w:t>
      </w:r>
      <w:r w:rsidRPr="000E2CAD">
        <w:rPr>
          <w:rFonts w:cstheme="minorHAnsi"/>
          <w:color w:val="000000"/>
        </w:rPr>
        <w:t xml:space="preserve">elérhetősége </w:t>
      </w:r>
      <w:hyperlink r:id="rId7" w:history="1">
        <w:r w:rsidRPr="000E2CAD">
          <w:rPr>
            <w:rStyle w:val="Hiperhivatkozs"/>
            <w:rFonts w:cstheme="minorHAnsi"/>
          </w:rPr>
          <w:t>www.szfe.hu/adatvedelem</w:t>
        </w:r>
      </w:hyperlink>
    </w:p>
    <w:p w:rsidR="00457CE6" w:rsidRPr="005770DD" w:rsidRDefault="00457CE6" w:rsidP="00810CB1">
      <w:pPr>
        <w:rPr>
          <w:rFonts w:cstheme="minorHAnsi"/>
        </w:rPr>
      </w:pPr>
      <w:r>
        <w:rPr>
          <w:rFonts w:cstheme="minorHAnsi"/>
          <w:color w:val="000000"/>
        </w:rPr>
        <w:t xml:space="preserve">A jelen Különös Adatkezelési Tájékoztató az </w:t>
      </w:r>
      <w:r w:rsidRPr="005770DD">
        <w:rPr>
          <w:rFonts w:cstheme="minorHAnsi"/>
          <w:color w:val="000000"/>
        </w:rPr>
        <w:t>Általános Adatkezelési Tájékoztató</w:t>
      </w:r>
      <w:r>
        <w:rPr>
          <w:rFonts w:cstheme="minorHAnsi"/>
          <w:color w:val="000000"/>
        </w:rPr>
        <w:t xml:space="preserve"> felépítését követve az adatkezelésnek csak azon feltételeiről és körülményeiről tartalmaz információt, amely feltételek és körülmények az </w:t>
      </w:r>
      <w:r w:rsidRPr="005770DD">
        <w:rPr>
          <w:rFonts w:cstheme="minorHAnsi"/>
          <w:color w:val="000000"/>
        </w:rPr>
        <w:t>Általános Adatkezelési Tájékoztató</w:t>
      </w:r>
      <w:r>
        <w:rPr>
          <w:rFonts w:cstheme="minorHAnsi"/>
          <w:color w:val="000000"/>
        </w:rPr>
        <w:t>ban nem szerepelnek vagy attól eltérnek. Emiatt az egyes fejezetek számozása nem feltétlenül folytonos.</w:t>
      </w:r>
    </w:p>
    <w:p w:rsidR="00457CE6" w:rsidRPr="005770DD" w:rsidRDefault="00457CE6" w:rsidP="00281303">
      <w:pPr>
        <w:pStyle w:val="Cmsor2"/>
      </w:pPr>
      <w:r w:rsidRPr="005770DD">
        <w:t xml:space="preserve">AZ </w:t>
      </w:r>
      <w:r w:rsidRPr="00281303">
        <w:t>ADATKEZELŐ</w:t>
      </w:r>
      <w:r w:rsidRPr="005770DD">
        <w:t xml:space="preserve"> ÉS ELÉRHETŐSÉGEI</w:t>
      </w:r>
    </w:p>
    <w:p w:rsidR="00457CE6" w:rsidRDefault="00457CE6" w:rsidP="00D533CF">
      <w:pPr>
        <w:ind w:right="-2"/>
        <w:rPr>
          <w:rFonts w:cstheme="minorHAnsi"/>
          <w:color w:val="000000"/>
        </w:rPr>
      </w:pPr>
      <w:r>
        <w:rPr>
          <w:rFonts w:cstheme="minorHAnsi"/>
          <w:color w:val="000000"/>
        </w:rPr>
        <w:t>Jelen adatkezelés tekintetében a</w:t>
      </w:r>
      <w:r w:rsidRPr="005770DD">
        <w:rPr>
          <w:rFonts w:cstheme="minorHAnsi"/>
          <w:color w:val="000000"/>
        </w:rPr>
        <w:t xml:space="preserve">z adatkezelő </w:t>
      </w:r>
      <w:r>
        <w:rPr>
          <w:rFonts w:cstheme="minorHAnsi"/>
          <w:color w:val="000000"/>
        </w:rPr>
        <w:t xml:space="preserve">nevét, azonosító adatait, valamint az Adatkezelő </w:t>
      </w:r>
      <w:r w:rsidRPr="005770DD">
        <w:rPr>
          <w:rFonts w:cstheme="minorHAnsi"/>
          <w:color w:val="000000"/>
        </w:rPr>
        <w:t>adatvédelmi tisztviselőjének</w:t>
      </w:r>
      <w:r>
        <w:rPr>
          <w:rFonts w:cstheme="minorHAnsi"/>
          <w:color w:val="000000"/>
        </w:rPr>
        <w:t xml:space="preserve"> nevét és elérhetőségét az </w:t>
      </w:r>
      <w:r w:rsidRPr="005770DD">
        <w:rPr>
          <w:rFonts w:cstheme="minorHAnsi"/>
          <w:color w:val="000000"/>
        </w:rPr>
        <w:t>Általános Adatkezelési Tájékoztató</w:t>
      </w:r>
      <w:r>
        <w:rPr>
          <w:rFonts w:cstheme="minorHAnsi"/>
          <w:color w:val="000000"/>
        </w:rPr>
        <w:t xml:space="preserve"> tartalmazza.</w:t>
      </w:r>
    </w:p>
    <w:p w:rsidR="00457CE6" w:rsidRDefault="00457CE6" w:rsidP="00B2672A">
      <w:pPr>
        <w:pStyle w:val="Cmsor2"/>
      </w:pPr>
      <w:r w:rsidRPr="008F70B5">
        <w:t>AZ ADATKEZELÉS CÉLJAI</w:t>
      </w:r>
    </w:p>
    <w:p w:rsidR="00457CE6" w:rsidRPr="000950A6" w:rsidRDefault="00457CE6" w:rsidP="008F70B5">
      <w:pPr>
        <w:pStyle w:val="NormlWeb"/>
        <w:shd w:val="clear" w:color="auto" w:fill="FFFFFF"/>
        <w:spacing w:after="0" w:afterAutospacing="0"/>
        <w:rPr>
          <w:rFonts w:cs="Calibri"/>
          <w:bCs/>
        </w:rPr>
      </w:pPr>
      <w:r w:rsidRPr="000950A6">
        <w:rPr>
          <w:rFonts w:cs="Calibri"/>
        </w:rPr>
        <w:t xml:space="preserve">Jelen adatkezelés célja: </w:t>
      </w:r>
      <w:r w:rsidRPr="003976F8">
        <w:rPr>
          <w:rFonts w:cs="Calibri"/>
          <w:bCs/>
          <w:noProof/>
        </w:rPr>
        <w:t>A szerződő felek közötti, a szerződésből fakadó jogok és kötelezettségek érvényesítése, a felek közötti kapcsolattartás.</w:t>
      </w:r>
    </w:p>
    <w:p w:rsidR="00457CE6" w:rsidRPr="005770DD" w:rsidRDefault="00457CE6" w:rsidP="00D30DAC">
      <w:pPr>
        <w:pStyle w:val="Cmsor2"/>
      </w:pPr>
      <w:r w:rsidRPr="005770DD">
        <w:t xml:space="preserve">AZ ADATKEZELÉS </w:t>
      </w:r>
      <w:r w:rsidRPr="007247D4">
        <w:t>JOGALAPJAI</w:t>
      </w:r>
    </w:p>
    <w:p w:rsidR="00457CE6" w:rsidRDefault="00457CE6" w:rsidP="005770DD">
      <w:pPr>
        <w:pStyle w:val="NormlWeb"/>
        <w:shd w:val="clear" w:color="auto" w:fill="FFFFFF"/>
        <w:spacing w:before="100" w:after="0" w:afterAutospacing="0"/>
        <w:rPr>
          <w:rFonts w:cs="Calibri"/>
        </w:rPr>
      </w:pPr>
      <w:r w:rsidRPr="000950A6">
        <w:rPr>
          <w:rFonts w:cs="Calibri"/>
        </w:rPr>
        <w:t xml:space="preserve">Jelen adatkezelés jogalapja: </w:t>
      </w:r>
    </w:p>
    <w:p w:rsidR="00457CE6" w:rsidRPr="000950A6" w:rsidRDefault="00457CE6" w:rsidP="005770DD">
      <w:pPr>
        <w:pStyle w:val="NormlWeb"/>
        <w:shd w:val="clear" w:color="auto" w:fill="FFFFFF"/>
        <w:spacing w:before="100" w:after="0" w:afterAutospacing="0"/>
        <w:rPr>
          <w:rFonts w:cs="Calibri"/>
          <w:bCs/>
        </w:rPr>
      </w:pPr>
      <w:r w:rsidRPr="003976F8">
        <w:rPr>
          <w:rFonts w:cs="Calibri"/>
          <w:bCs/>
          <w:noProof/>
        </w:rPr>
        <w:t>Jogos érdek - 6. cikk (1) bekezdés f) pontja – az adatkezelés az adatkezelő vagy egy harmadik fél jogos érdekeinek érvényesítéséhez szükséges</w:t>
      </w:r>
    </w:p>
    <w:p w:rsidR="00457CE6" w:rsidRDefault="00457CE6" w:rsidP="005770DD">
      <w:pPr>
        <w:pStyle w:val="NormlWeb"/>
        <w:shd w:val="clear" w:color="auto" w:fill="FFFFFF"/>
        <w:spacing w:before="100" w:after="0" w:afterAutospacing="0"/>
        <w:rPr>
          <w:rFonts w:cs="Calibri"/>
        </w:rPr>
      </w:pPr>
      <w:r>
        <w:rPr>
          <w:rFonts w:cs="Calibri"/>
        </w:rPr>
        <w:t>Az adatkezelést meghatározó jogszabályok illetve a GDPR 6.cikk (1) bek. f) pont szerinti jogos érdeken alapuló adatkezelés esetén az adatkezelést megalapozó jogos érdek:</w:t>
      </w:r>
    </w:p>
    <w:p w:rsidR="00457CE6" w:rsidRPr="000950A6" w:rsidRDefault="00457CE6" w:rsidP="006919DD">
      <w:pPr>
        <w:pStyle w:val="font8"/>
        <w:tabs>
          <w:tab w:val="left" w:pos="709"/>
        </w:tabs>
        <w:ind w:left="709"/>
        <w:contextualSpacing/>
        <w:jc w:val="both"/>
        <w:textAlignment w:val="baseline"/>
        <w:rPr>
          <w:rFonts w:ascii="Calibri" w:hAnsi="Calibri" w:cs="Calibri"/>
          <w:bCs/>
          <w:color w:val="000000"/>
        </w:rPr>
      </w:pPr>
      <w:r w:rsidRPr="003976F8">
        <w:rPr>
          <w:rFonts w:ascii="Calibri" w:hAnsi="Calibri" w:cs="Calibri"/>
          <w:bCs/>
          <w:noProof/>
          <w:color w:val="000000"/>
        </w:rPr>
        <w:t>A szervezet jogos érdeke a szerződéses partnerrel kötött szerződésekkel összefüggő kapcsolattartatás, a kommunikáció biztosítása a szerződéses partnerrel, illetve ezek által a szerződések teljesítésének elősegítése.Az adatkezelés szükséges, mivel a kapcsolattartói adatok hiányábanrendkívül megnehezülne a szerződéses partnerekkel való kommunikáció,melynek folytán a szerződések teljesítése elnehezülhet.</w:t>
      </w:r>
    </w:p>
    <w:p w:rsidR="00457CE6" w:rsidRDefault="00457CE6" w:rsidP="00331913">
      <w:pPr>
        <w:rPr>
          <w:rFonts w:cs="Calibri"/>
        </w:rPr>
      </w:pPr>
      <w:r>
        <w:rPr>
          <w:rFonts w:cs="Calibri"/>
        </w:rPr>
        <w:t xml:space="preserve">Személyes adatok különleges kategóriáinak kezelése esetén </w:t>
      </w:r>
    </w:p>
    <w:p w:rsidR="00457CE6" w:rsidRPr="000950A6" w:rsidRDefault="00457CE6" w:rsidP="00331913">
      <w:pPr>
        <w:pStyle w:val="Listaszerbekezds"/>
        <w:numPr>
          <w:ilvl w:val="0"/>
          <w:numId w:val="9"/>
        </w:numPr>
        <w:rPr>
          <w:rFonts w:cs="Calibri"/>
          <w:sz w:val="24"/>
          <w:szCs w:val="24"/>
        </w:rPr>
      </w:pPr>
      <w:r w:rsidRPr="000950A6">
        <w:rPr>
          <w:rFonts w:cs="Calibri"/>
          <w:sz w:val="24"/>
          <w:szCs w:val="24"/>
        </w:rPr>
        <w:t xml:space="preserve">a személyes adatok különleges kategóriájának megnevezése: </w:t>
      </w:r>
      <w:r w:rsidRPr="003976F8">
        <w:rPr>
          <w:rFonts w:cs="Calibri"/>
          <w:bCs/>
          <w:noProof/>
        </w:rPr>
        <w:t>Nem különleges adat</w:t>
      </w:r>
    </w:p>
    <w:p w:rsidR="00457CE6" w:rsidRPr="000950A6" w:rsidRDefault="00457CE6" w:rsidP="00331913">
      <w:pPr>
        <w:pStyle w:val="Listaszerbekezds"/>
        <w:numPr>
          <w:ilvl w:val="0"/>
          <w:numId w:val="9"/>
        </w:numPr>
        <w:rPr>
          <w:rFonts w:cs="Calibri"/>
          <w:sz w:val="24"/>
          <w:szCs w:val="24"/>
        </w:rPr>
      </w:pPr>
      <w:r w:rsidRPr="000950A6">
        <w:rPr>
          <w:rFonts w:cs="Calibri"/>
          <w:sz w:val="24"/>
          <w:szCs w:val="24"/>
        </w:rPr>
        <w:t xml:space="preserve">az adatkezelés további feltétele(i) a GDPR 9. cikke (2) bekezdés alapján: </w:t>
      </w:r>
      <w:r w:rsidRPr="003976F8">
        <w:rPr>
          <w:rFonts w:cs="Calibri"/>
          <w:bCs/>
          <w:noProof/>
        </w:rPr>
        <w:t>Nem releváns</w:t>
      </w:r>
    </w:p>
    <w:p w:rsidR="00457CE6" w:rsidRDefault="00457CE6" w:rsidP="000E2CAD">
      <w:r>
        <w:lastRenderedPageBreak/>
        <w:t>Egyéb feltételek</w:t>
      </w:r>
    </w:p>
    <w:p w:rsidR="00457CE6" w:rsidRPr="007247D4" w:rsidRDefault="00457CE6" w:rsidP="007247D4">
      <w:pPr>
        <w:pStyle w:val="Listaszerbekezds"/>
        <w:numPr>
          <w:ilvl w:val="0"/>
          <w:numId w:val="11"/>
        </w:numPr>
        <w:rPr>
          <w:rFonts w:cs="Calibri"/>
          <w:sz w:val="24"/>
          <w:szCs w:val="24"/>
        </w:rPr>
      </w:pPr>
      <w:r w:rsidRPr="007247D4">
        <w:rPr>
          <w:rFonts w:cs="Calibri"/>
        </w:rPr>
        <w:t xml:space="preserve">Az adatszolgáltatás elmaradásának lehetséges </w:t>
      </w:r>
      <w:r>
        <w:rPr>
          <w:rFonts w:cs="Calibri"/>
        </w:rPr>
        <w:t>követ</w:t>
      </w:r>
      <w:r w:rsidRPr="007247D4">
        <w:rPr>
          <w:rFonts w:cs="Calibri"/>
        </w:rPr>
        <w:t>kezményei</w:t>
      </w:r>
      <w:r>
        <w:rPr>
          <w:rFonts w:cs="Calibri"/>
        </w:rPr>
        <w:t xml:space="preserve">: </w:t>
      </w:r>
    </w:p>
    <w:p w:rsidR="00457CE6" w:rsidRPr="007247D4" w:rsidRDefault="00457CE6" w:rsidP="007247D4">
      <w:pPr>
        <w:ind w:left="1080"/>
        <w:rPr>
          <w:rFonts w:cs="Calibri"/>
        </w:rPr>
      </w:pPr>
      <w:r w:rsidRPr="003976F8">
        <w:rPr>
          <w:rFonts w:cs="Calibri"/>
          <w:noProof/>
        </w:rPr>
        <w:t>Nem teljesíthető a szerződés</w:t>
      </w:r>
    </w:p>
    <w:p w:rsidR="00457CE6" w:rsidRPr="00331913" w:rsidRDefault="00457CE6" w:rsidP="007247D4">
      <w:pPr>
        <w:pStyle w:val="Listaszerbekezds"/>
        <w:numPr>
          <w:ilvl w:val="0"/>
          <w:numId w:val="11"/>
        </w:numPr>
        <w:rPr>
          <w:rFonts w:cs="Calibri"/>
          <w:sz w:val="24"/>
          <w:szCs w:val="24"/>
        </w:rPr>
      </w:pPr>
      <w:r w:rsidRPr="007247D4">
        <w:t>Egyéb feltételek tekintettel a GDPR  13. cikk (2) bek. e) pontra</w:t>
      </w:r>
    </w:p>
    <w:p w:rsidR="00457CE6" w:rsidRDefault="00457CE6" w:rsidP="007247D4">
      <w:pPr>
        <w:ind w:left="1080"/>
      </w:pPr>
      <w:r>
        <w:rPr>
          <w:noProof/>
        </w:rPr>
        <w:t>--</w:t>
      </w:r>
    </w:p>
    <w:p w:rsidR="00457CE6" w:rsidRDefault="00457CE6" w:rsidP="007247D4">
      <w:pPr>
        <w:ind w:left="1080"/>
      </w:pPr>
      <w:r>
        <w:rPr>
          <w:noProof/>
        </w:rPr>
        <w:t>--</w:t>
      </w:r>
    </w:p>
    <w:p w:rsidR="00457CE6" w:rsidRDefault="00457CE6" w:rsidP="00B2672A">
      <w:pPr>
        <w:pStyle w:val="Cmsor2"/>
      </w:pPr>
      <w:r>
        <w:t>AZ ÉRINTETTEK ÉS A KEZELT SZEMÉLYES ADATOK KÖRE</w:t>
      </w:r>
    </w:p>
    <w:p w:rsidR="00457CE6" w:rsidRDefault="00457CE6" w:rsidP="0099380C">
      <w:pPr>
        <w:rPr>
          <w:rFonts w:cs="Calibri"/>
        </w:rPr>
      </w:pPr>
      <w:r>
        <w:rPr>
          <w:rFonts w:cs="Calibri"/>
        </w:rPr>
        <w:t>A jelen adatkezeléssel érintett természetes személyek köre:</w:t>
      </w:r>
    </w:p>
    <w:p w:rsidR="00457CE6" w:rsidRPr="000950A6" w:rsidRDefault="00457CE6" w:rsidP="000950A6">
      <w:pPr>
        <w:pStyle w:val="Listaszerbekezds"/>
        <w:numPr>
          <w:ilvl w:val="0"/>
          <w:numId w:val="15"/>
        </w:numPr>
        <w:rPr>
          <w:rFonts w:cs="Calibri"/>
        </w:rPr>
      </w:pPr>
      <w:r w:rsidRPr="003976F8">
        <w:rPr>
          <w:rFonts w:cs="Calibri"/>
          <w:bCs/>
          <w:noProof/>
        </w:rPr>
        <w:t>Szerződött partnerhez köthető magánszemély</w:t>
      </w:r>
    </w:p>
    <w:p w:rsidR="00457CE6" w:rsidRDefault="00457CE6" w:rsidP="00F33873">
      <w:pPr>
        <w:rPr>
          <w:rFonts w:cs="Calibri"/>
        </w:rPr>
      </w:pPr>
      <w:r>
        <w:rPr>
          <w:rFonts w:cs="Calibri"/>
        </w:rPr>
        <w:t xml:space="preserve">Jelen adatkezelés során az Adatkezelő a következő személyes adatokat kezeli: </w:t>
      </w:r>
    </w:p>
    <w:p w:rsidR="00457CE6" w:rsidRPr="000950A6" w:rsidRDefault="00457CE6" w:rsidP="000950A6">
      <w:pPr>
        <w:ind w:left="644"/>
        <w:rPr>
          <w:rFonts w:cs="Calibri"/>
          <w:bCs/>
        </w:rPr>
      </w:pPr>
      <w:r w:rsidRPr="003976F8">
        <w:rPr>
          <w:rFonts w:cs="Calibri"/>
          <w:bCs/>
          <w:noProof/>
        </w:rPr>
        <w:t>A szerződésekben és a kapcsolódó dokumentumokban szereplő személyes adatok(név, email, mobiltelefon);  a szervezettel kapcsolatba kerülő munkavállalókra vonatkozó, a szerződés teljesítéséhez szükséges adatok.</w:t>
      </w:r>
    </w:p>
    <w:p w:rsidR="00457CE6" w:rsidRPr="00EC585D" w:rsidRDefault="00457CE6" w:rsidP="00B2672A">
      <w:pPr>
        <w:pStyle w:val="Cmsor2"/>
      </w:pPr>
      <w:r w:rsidRPr="00EC585D">
        <w:t>A SZEMÉLYES ADATOK TOVÁBBÍTÁSÁNAK CÍMZETTJEI</w:t>
      </w:r>
    </w:p>
    <w:p w:rsidR="00457CE6" w:rsidRDefault="00457CE6" w:rsidP="00744DF7">
      <w:pPr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Jelen adatkezelés során igénybe vett adatfeldolgozók:</w:t>
      </w:r>
    </w:p>
    <w:p w:rsidR="00457CE6" w:rsidRDefault="00457CE6" w:rsidP="00FA08A2">
      <w:pPr>
        <w:ind w:firstLine="708"/>
        <w:rPr>
          <w:rFonts w:cstheme="minorHAnsi"/>
          <w:bCs/>
          <w:color w:val="000000"/>
        </w:rPr>
      </w:pPr>
      <w:r w:rsidRPr="003976F8">
        <w:rPr>
          <w:rFonts w:cstheme="minorHAnsi"/>
          <w:bCs/>
          <w:noProof/>
          <w:color w:val="000000"/>
        </w:rPr>
        <w:t>Nem releváns</w:t>
      </w:r>
    </w:p>
    <w:p w:rsidR="00457CE6" w:rsidRDefault="00457CE6" w:rsidP="00744DF7">
      <w:pPr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Jelen adatkezelés során az alábbi szervezetekkel történik közös adatkezelés: </w:t>
      </w:r>
    </w:p>
    <w:p w:rsidR="00457CE6" w:rsidRDefault="00457CE6" w:rsidP="00744DF7">
      <w:pPr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ab/>
      </w:r>
      <w:r w:rsidRPr="003976F8">
        <w:rPr>
          <w:rFonts w:cstheme="minorHAnsi"/>
          <w:bCs/>
          <w:noProof/>
          <w:color w:val="000000"/>
        </w:rPr>
        <w:t>Nem releváns</w:t>
      </w:r>
    </w:p>
    <w:p w:rsidR="00457CE6" w:rsidRDefault="00457CE6" w:rsidP="0099070C">
      <w:pPr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Jelen adatkezeléshez kapcsolódóan rendszeres adattovábbítás történhet az alábbi címzettek irányába:</w:t>
      </w:r>
    </w:p>
    <w:p w:rsidR="00457CE6" w:rsidRDefault="00457CE6" w:rsidP="00744DF7">
      <w:pPr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ab/>
      </w:r>
      <w:r w:rsidRPr="003976F8">
        <w:rPr>
          <w:rFonts w:cstheme="minorHAnsi"/>
          <w:bCs/>
          <w:noProof/>
          <w:color w:val="000000"/>
        </w:rPr>
        <w:t>Ezen adatkezelés kapcsán nincs rendszeres adattovábbítás</w:t>
      </w:r>
    </w:p>
    <w:p w:rsidR="00457CE6" w:rsidRPr="001B567B" w:rsidRDefault="00457CE6" w:rsidP="001B567B">
      <w:pPr>
        <w:pStyle w:val="NormlWeb"/>
        <w:shd w:val="clear" w:color="auto" w:fill="FFFFFF"/>
        <w:spacing w:beforeAutospacing="0" w:afterAutospacing="0"/>
        <w:rPr>
          <w:rFonts w:cs="Calibri"/>
        </w:rPr>
      </w:pPr>
      <w:r>
        <w:rPr>
          <w:rFonts w:cs="Calibri"/>
        </w:rPr>
        <w:t xml:space="preserve">Az adatfeldolgozók és a közös adatkezelők listája megtekinthető az alábbi hivatkozásra </w:t>
      </w:r>
      <w:r w:rsidRPr="000E2CAD">
        <w:rPr>
          <w:rFonts w:cs="Calibri"/>
        </w:rPr>
        <w:t xml:space="preserve">kattintva: </w:t>
      </w:r>
      <w:hyperlink r:id="rId8" w:history="1">
        <w:r w:rsidRPr="000E2CAD">
          <w:rPr>
            <w:rStyle w:val="Hiperhivatkozs"/>
            <w:rFonts w:cs="Calibri"/>
          </w:rPr>
          <w:t>www.szfe.hu/adatkezeles</w:t>
        </w:r>
      </w:hyperlink>
      <w:r>
        <w:rPr>
          <w:rFonts w:cs="Calibri"/>
        </w:rPr>
        <w:t xml:space="preserve"> </w:t>
      </w:r>
    </w:p>
    <w:p w:rsidR="00457CE6" w:rsidRPr="001B567B" w:rsidRDefault="00457CE6" w:rsidP="00B2672A">
      <w:pPr>
        <w:pStyle w:val="Cmsor2"/>
      </w:pPr>
      <w:r w:rsidRPr="001B567B">
        <w:t>AZ ADATTÁTOLÁS IDŐTARTAMA</w:t>
      </w:r>
    </w:p>
    <w:p w:rsidR="00457CE6" w:rsidRPr="000950A6" w:rsidRDefault="00457CE6" w:rsidP="001B567B">
      <w:pPr>
        <w:pStyle w:val="NormlWeb"/>
        <w:shd w:val="clear" w:color="auto" w:fill="FFFFFF"/>
        <w:spacing w:after="0" w:afterAutospacing="0"/>
        <w:rPr>
          <w:rFonts w:cs="Calibri"/>
        </w:rPr>
      </w:pPr>
      <w:r>
        <w:rPr>
          <w:rFonts w:cs="Calibri"/>
        </w:rPr>
        <w:t xml:space="preserve">Jelen adatkezelés tekintetében az adatok megőrzési ideje, illetve az megőrzési idő meghatározására irányadó szempontok: </w:t>
      </w:r>
      <w:r w:rsidRPr="003976F8">
        <w:rPr>
          <w:rFonts w:cs="Calibri"/>
          <w:bCs/>
          <w:noProof/>
        </w:rPr>
        <w:t>Amennyiben nem kapcsolódik számla a szerződéshez akkor szerződés megszűnése után 5 év. Amennyiben számla is kapcsolódik hozzá, akkor a szerződés lezárását követő 8 év.</w:t>
      </w:r>
    </w:p>
    <w:p w:rsidR="00457CE6" w:rsidRPr="000950A6" w:rsidRDefault="00457CE6" w:rsidP="000950A6">
      <w:pPr>
        <w:pStyle w:val="Cmsor2"/>
      </w:pPr>
      <w:r w:rsidRPr="000950A6">
        <w:t>AUTOMATIZÁLT DÖNTÉSHOZATAL, BELEÉRTVE AZ E CÉLBÓL VÉGZETT PROFILALKOTÁST IS</w:t>
      </w:r>
    </w:p>
    <w:p w:rsidR="00457CE6" w:rsidRPr="000F2113" w:rsidRDefault="00457CE6" w:rsidP="000F2113">
      <w:pPr>
        <w:pStyle w:val="NormlWeb"/>
        <w:shd w:val="clear" w:color="auto" w:fill="FFFFFF"/>
        <w:spacing w:after="0" w:afterAutospacing="0"/>
        <w:rPr>
          <w:rFonts w:cs="Calibri"/>
          <w:color w:val="000000"/>
        </w:rPr>
      </w:pPr>
      <w:r>
        <w:rPr>
          <w:rFonts w:cs="Calibri"/>
        </w:rPr>
        <w:t>Jelen adatkezelés tekintetében az A</w:t>
      </w:r>
      <w:r w:rsidRPr="001B567B">
        <w:rPr>
          <w:rFonts w:cs="Calibri"/>
        </w:rPr>
        <w:t xml:space="preserve">datkezelő </w:t>
      </w:r>
      <w:r>
        <w:rPr>
          <w:rFonts w:cs="Calibri"/>
        </w:rPr>
        <w:t xml:space="preserve">nem </w:t>
      </w:r>
      <w:r w:rsidRPr="001B567B">
        <w:rPr>
          <w:rFonts w:cs="Calibri"/>
          <w:color w:val="000000"/>
        </w:rPr>
        <w:t>végez automatizált döntéshozatalt és/vagy profilalkotást.</w:t>
      </w:r>
    </w:p>
    <w:p w:rsidR="00457CE6" w:rsidRPr="00E673B8" w:rsidRDefault="00457CE6" w:rsidP="00B2672A">
      <w:pPr>
        <w:pStyle w:val="Cmsor2"/>
      </w:pPr>
      <w:r w:rsidRPr="00E673B8">
        <w:t>AZ ÉRINTETTEK JOGAINAK VÉDELME</w:t>
      </w:r>
    </w:p>
    <w:p w:rsidR="00457CE6" w:rsidRPr="005770DD" w:rsidRDefault="00457CE6" w:rsidP="007D47C9">
      <w:pPr>
        <w:pStyle w:val="NormlWeb"/>
        <w:shd w:val="clear" w:color="auto" w:fill="FFFFFF"/>
        <w:spacing w:after="0" w:afterAutospacing="0"/>
        <w:rPr>
          <w:rFonts w:cs="Calibri"/>
        </w:rPr>
      </w:pPr>
      <w:r w:rsidRPr="00F33873">
        <w:rPr>
          <w:rFonts w:cs="Calibri"/>
        </w:rPr>
        <w:t>A</w:t>
      </w:r>
      <w:r>
        <w:rPr>
          <w:rFonts w:cs="Calibri"/>
        </w:rPr>
        <w:t>z érintettek jogait az Általános Adatkezelési Tájékoztató tartalmazza.</w:t>
      </w:r>
    </w:p>
    <w:p w:rsidR="00457CE6" w:rsidRPr="000F42B2" w:rsidRDefault="00457CE6" w:rsidP="000F42B2"/>
    <w:p w:rsidR="00457CE6" w:rsidRDefault="00457CE6" w:rsidP="00DB1922">
      <w:pPr>
        <w:sectPr w:rsidR="00457CE6" w:rsidSect="00457CE6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t>Budapest, 2021. 08. 25.</w:t>
      </w:r>
    </w:p>
    <w:p w:rsidR="00457CE6" w:rsidRPr="005770DD" w:rsidRDefault="00457CE6"/>
    <w:sectPr w:rsidR="00457CE6" w:rsidRPr="005770DD" w:rsidSect="00457CE6">
      <w:headerReference w:type="default" r:id="rId11"/>
      <w:foot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CE6" w:rsidRDefault="00457CE6" w:rsidP="00C767D1">
      <w:pPr>
        <w:spacing w:before="0" w:after="0"/>
      </w:pPr>
      <w:r>
        <w:separator/>
      </w:r>
    </w:p>
  </w:endnote>
  <w:endnote w:type="continuationSeparator" w:id="0">
    <w:p w:rsidR="00457CE6" w:rsidRDefault="00457CE6" w:rsidP="00C767D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5530355"/>
      <w:docPartObj>
        <w:docPartGallery w:val="Page Numbers (Bottom of Page)"/>
        <w:docPartUnique/>
      </w:docPartObj>
    </w:sdtPr>
    <w:sdtEndPr/>
    <w:sdtContent>
      <w:p w:rsidR="00457CE6" w:rsidRDefault="00457CE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0C8">
          <w:rPr>
            <w:noProof/>
          </w:rPr>
          <w:t>3</w:t>
        </w:r>
        <w:r>
          <w:fldChar w:fldCharType="end"/>
        </w:r>
      </w:p>
    </w:sdtContent>
  </w:sdt>
  <w:p w:rsidR="00457CE6" w:rsidRDefault="00457CE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4497405"/>
      <w:docPartObj>
        <w:docPartGallery w:val="Page Numbers (Bottom of Page)"/>
        <w:docPartUnique/>
      </w:docPartObj>
    </w:sdtPr>
    <w:sdtEndPr/>
    <w:sdtContent>
      <w:p w:rsidR="002A7DF3" w:rsidRDefault="002A7DF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CE6">
          <w:rPr>
            <w:noProof/>
          </w:rPr>
          <w:t>1</w:t>
        </w:r>
        <w:r>
          <w:fldChar w:fldCharType="end"/>
        </w:r>
      </w:p>
    </w:sdtContent>
  </w:sdt>
  <w:p w:rsidR="002A7DF3" w:rsidRDefault="002A7DF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CE6" w:rsidRDefault="00457CE6" w:rsidP="00C767D1">
      <w:pPr>
        <w:spacing w:before="0" w:after="0"/>
      </w:pPr>
      <w:r>
        <w:separator/>
      </w:r>
    </w:p>
  </w:footnote>
  <w:footnote w:type="continuationSeparator" w:id="0">
    <w:p w:rsidR="00457CE6" w:rsidRDefault="00457CE6" w:rsidP="00C767D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CE6" w:rsidRDefault="00457CE6" w:rsidP="00C343EF">
    <w:pPr>
      <w:pStyle w:val="lfej"/>
      <w:jc w:val="right"/>
      <w:rPr>
        <w:rFonts w:ascii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75648" behindDoc="0" locked="0" layoutInCell="1" allowOverlap="1" wp14:anchorId="3352FD7A" wp14:editId="11D2ED91">
          <wp:simplePos x="0" y="0"/>
          <wp:positionH relativeFrom="column">
            <wp:posOffset>-769620</wp:posOffset>
          </wp:positionH>
          <wp:positionV relativeFrom="paragraph">
            <wp:posOffset>-302895</wp:posOffset>
          </wp:positionV>
          <wp:extent cx="2286000" cy="745490"/>
          <wp:effectExtent l="0" t="0" r="0" b="0"/>
          <wp:wrapThrough wrapText="bothSides">
            <wp:wrapPolygon edited="0">
              <wp:start x="0" y="0"/>
              <wp:lineTo x="0" y="20974"/>
              <wp:lineTo x="21420" y="20974"/>
              <wp:lineTo x="21420" y="0"/>
              <wp:lineTo x="0" y="0"/>
            </wp:wrapPolygon>
          </wp:wrapThrough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0"/>
        <w:szCs w:val="20"/>
      </w:rPr>
      <w:t>Különös adatkezelési tájékoztató</w:t>
    </w:r>
  </w:p>
  <w:p w:rsidR="00457CE6" w:rsidRDefault="00457CE6" w:rsidP="00C343EF">
    <w:pPr>
      <w:pStyle w:val="lfej"/>
      <w:tabs>
        <w:tab w:val="clear" w:pos="9072"/>
        <w:tab w:val="left" w:pos="6525"/>
      </w:tabs>
    </w:pPr>
  </w:p>
  <w:p w:rsidR="00457CE6" w:rsidRDefault="00457CE6" w:rsidP="00C343EF">
    <w:pPr>
      <w:pStyle w:val="lfej"/>
    </w:pPr>
  </w:p>
  <w:p w:rsidR="00457CE6" w:rsidRDefault="00457CE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DF3" w:rsidRDefault="002A7DF3" w:rsidP="00C343EF">
    <w:pPr>
      <w:pStyle w:val="lfej"/>
      <w:jc w:val="right"/>
      <w:rPr>
        <w:rFonts w:ascii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52FD7A" wp14:editId="11D2ED91">
          <wp:simplePos x="0" y="0"/>
          <wp:positionH relativeFrom="column">
            <wp:posOffset>-769620</wp:posOffset>
          </wp:positionH>
          <wp:positionV relativeFrom="paragraph">
            <wp:posOffset>-302895</wp:posOffset>
          </wp:positionV>
          <wp:extent cx="2286000" cy="745490"/>
          <wp:effectExtent l="0" t="0" r="0" b="0"/>
          <wp:wrapThrough wrapText="bothSides">
            <wp:wrapPolygon edited="0">
              <wp:start x="0" y="0"/>
              <wp:lineTo x="0" y="20974"/>
              <wp:lineTo x="21420" y="20974"/>
              <wp:lineTo x="21420" y="0"/>
              <wp:lineTo x="0" y="0"/>
            </wp:wrapPolygon>
          </wp:wrapThrough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0"/>
        <w:szCs w:val="20"/>
      </w:rPr>
      <w:t>Különös adatkezelési tájékoztató</w:t>
    </w:r>
  </w:p>
  <w:p w:rsidR="002A7DF3" w:rsidRDefault="002A7DF3" w:rsidP="00C343EF">
    <w:pPr>
      <w:pStyle w:val="lfej"/>
      <w:tabs>
        <w:tab w:val="clear" w:pos="9072"/>
        <w:tab w:val="left" w:pos="6525"/>
      </w:tabs>
    </w:pPr>
  </w:p>
  <w:p w:rsidR="002A7DF3" w:rsidRDefault="002A7DF3" w:rsidP="00C343EF">
    <w:pPr>
      <w:pStyle w:val="lfej"/>
    </w:pPr>
  </w:p>
  <w:p w:rsidR="002A7DF3" w:rsidRDefault="002A7DF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86E6AC4"/>
    <w:multiLevelType w:val="multilevel"/>
    <w:tmpl w:val="91C260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1" w15:restartNumberingAfterBreak="1">
    <w:nsid w:val="1903438E"/>
    <w:multiLevelType w:val="hybridMultilevel"/>
    <w:tmpl w:val="0C66E048"/>
    <w:lvl w:ilvl="0" w:tplc="B65A25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AB014BB"/>
    <w:multiLevelType w:val="hybridMultilevel"/>
    <w:tmpl w:val="F92EF192"/>
    <w:lvl w:ilvl="0" w:tplc="31FC037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 w:tplc="AE42AC7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918E9A6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plc="E1F4F27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plc="5184B77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plc="D4009B6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plc="6CB2585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plc="233298C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plc="78F4B05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1">
    <w:nsid w:val="1EAF48E1"/>
    <w:multiLevelType w:val="hybridMultilevel"/>
    <w:tmpl w:val="54F245CA"/>
    <w:lvl w:ilvl="0" w:tplc="FE56C3C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0D6658E"/>
    <w:multiLevelType w:val="hybridMultilevel"/>
    <w:tmpl w:val="867CC6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2CEB5FA6"/>
    <w:multiLevelType w:val="hybridMultilevel"/>
    <w:tmpl w:val="5562E5F2"/>
    <w:lvl w:ilvl="0" w:tplc="83E68748">
      <w:start w:val="6"/>
      <w:numFmt w:val="bullet"/>
      <w:lvlText w:val="-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321A57C0"/>
    <w:multiLevelType w:val="hybridMultilevel"/>
    <w:tmpl w:val="2F0EABCE"/>
    <w:lvl w:ilvl="0" w:tplc="42A66EBA">
      <w:start w:val="1"/>
      <w:numFmt w:val="lowerLetter"/>
      <w:lvlText w:val="%1)"/>
      <w:lvlJc w:val="left"/>
      <w:pPr>
        <w:ind w:left="1004" w:hanging="360"/>
      </w:pPr>
      <w:rPr>
        <w:rFonts w:ascii="Calibri" w:hAnsi="Calibri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6010440"/>
    <w:multiLevelType w:val="hybridMultilevel"/>
    <w:tmpl w:val="F44EF4B6"/>
    <w:lvl w:ilvl="0" w:tplc="D958A2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1">
    <w:nsid w:val="3CCF0B34"/>
    <w:multiLevelType w:val="hybridMultilevel"/>
    <w:tmpl w:val="098CB8F2"/>
    <w:lvl w:ilvl="0" w:tplc="FE56C3C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51FD2DFD"/>
    <w:multiLevelType w:val="hybridMultilevel"/>
    <w:tmpl w:val="84728558"/>
    <w:lvl w:ilvl="0" w:tplc="57A4A5F2">
      <w:start w:val="1"/>
      <w:numFmt w:val="lowerLetter"/>
      <w:lvlText w:val="%1)"/>
      <w:lvlJc w:val="left"/>
      <w:pPr>
        <w:ind w:left="1004" w:hanging="360"/>
      </w:pPr>
      <w:rPr>
        <w:rFonts w:ascii="Calibri" w:hAnsi="Calibri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1">
    <w:nsid w:val="53E37664"/>
    <w:multiLevelType w:val="hybridMultilevel"/>
    <w:tmpl w:val="54F245CA"/>
    <w:lvl w:ilvl="0" w:tplc="FE56C3C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615E2D8A"/>
    <w:multiLevelType w:val="hybridMultilevel"/>
    <w:tmpl w:val="8BA481DC"/>
    <w:lvl w:ilvl="0" w:tplc="79F8A64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 w:tplc="85463E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30C04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924EF6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CF14CE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C2C21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26EF9A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D6E03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3CEB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1">
    <w:nsid w:val="629C36D9"/>
    <w:multiLevelType w:val="hybridMultilevel"/>
    <w:tmpl w:val="B030AD52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1">
    <w:nsid w:val="658A2D2F"/>
    <w:multiLevelType w:val="hybridMultilevel"/>
    <w:tmpl w:val="21062B5E"/>
    <w:lvl w:ilvl="0" w:tplc="040E0015">
      <w:start w:val="1"/>
      <w:numFmt w:val="upperLetter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1">
    <w:nsid w:val="74FD4D53"/>
    <w:multiLevelType w:val="hybridMultilevel"/>
    <w:tmpl w:val="42807C90"/>
    <w:lvl w:ilvl="0" w:tplc="83E68748">
      <w:start w:val="6"/>
      <w:numFmt w:val="bullet"/>
      <w:lvlText w:val="-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7"/>
  </w:num>
  <w:num w:numId="5">
    <w:abstractNumId w:val="4"/>
  </w:num>
  <w:num w:numId="6">
    <w:abstractNumId w:val="5"/>
  </w:num>
  <w:num w:numId="7">
    <w:abstractNumId w:val="14"/>
  </w:num>
  <w:num w:numId="8">
    <w:abstractNumId w:val="8"/>
  </w:num>
  <w:num w:numId="9">
    <w:abstractNumId w:val="3"/>
  </w:num>
  <w:num w:numId="10">
    <w:abstractNumId w:val="6"/>
  </w:num>
  <w:num w:numId="11">
    <w:abstractNumId w:val="10"/>
  </w:num>
  <w:num w:numId="12">
    <w:abstractNumId w:val="0"/>
  </w:num>
  <w:num w:numId="13">
    <w:abstractNumId w:val="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42"/>
    <w:rsid w:val="0003334C"/>
    <w:rsid w:val="000801FC"/>
    <w:rsid w:val="00083429"/>
    <w:rsid w:val="00091776"/>
    <w:rsid w:val="000950A6"/>
    <w:rsid w:val="000B55A3"/>
    <w:rsid w:val="000E2CAD"/>
    <w:rsid w:val="000E3571"/>
    <w:rsid w:val="000F2113"/>
    <w:rsid w:val="000F42B2"/>
    <w:rsid w:val="00100E0C"/>
    <w:rsid w:val="00130653"/>
    <w:rsid w:val="001311CE"/>
    <w:rsid w:val="00155912"/>
    <w:rsid w:val="00161311"/>
    <w:rsid w:val="001A6ABB"/>
    <w:rsid w:val="001B567B"/>
    <w:rsid w:val="00281303"/>
    <w:rsid w:val="002A7DF3"/>
    <w:rsid w:val="002C5F92"/>
    <w:rsid w:val="00331913"/>
    <w:rsid w:val="00457CE6"/>
    <w:rsid w:val="004701DA"/>
    <w:rsid w:val="004B0143"/>
    <w:rsid w:val="004B7A7A"/>
    <w:rsid w:val="004D3E6C"/>
    <w:rsid w:val="0056302D"/>
    <w:rsid w:val="005770DD"/>
    <w:rsid w:val="00584C29"/>
    <w:rsid w:val="005C17B9"/>
    <w:rsid w:val="005C6E58"/>
    <w:rsid w:val="00632E9B"/>
    <w:rsid w:val="00675FD9"/>
    <w:rsid w:val="006919DD"/>
    <w:rsid w:val="006A10E8"/>
    <w:rsid w:val="006E609B"/>
    <w:rsid w:val="006F4A14"/>
    <w:rsid w:val="007004F8"/>
    <w:rsid w:val="007247D4"/>
    <w:rsid w:val="00744DF7"/>
    <w:rsid w:val="00747885"/>
    <w:rsid w:val="00760FA0"/>
    <w:rsid w:val="007731D0"/>
    <w:rsid w:val="007C3142"/>
    <w:rsid w:val="007D47C9"/>
    <w:rsid w:val="00810CB1"/>
    <w:rsid w:val="008230D8"/>
    <w:rsid w:val="0087065D"/>
    <w:rsid w:val="008F70B5"/>
    <w:rsid w:val="008F7DAA"/>
    <w:rsid w:val="00940025"/>
    <w:rsid w:val="00987CCE"/>
    <w:rsid w:val="0099070C"/>
    <w:rsid w:val="0099380C"/>
    <w:rsid w:val="00A23C3B"/>
    <w:rsid w:val="00A8690C"/>
    <w:rsid w:val="00B2672A"/>
    <w:rsid w:val="00B45A8D"/>
    <w:rsid w:val="00B52116"/>
    <w:rsid w:val="00B84C42"/>
    <w:rsid w:val="00BA55EE"/>
    <w:rsid w:val="00BD2AFB"/>
    <w:rsid w:val="00C14A86"/>
    <w:rsid w:val="00C343EF"/>
    <w:rsid w:val="00C767D1"/>
    <w:rsid w:val="00CC4B1C"/>
    <w:rsid w:val="00CD4C4C"/>
    <w:rsid w:val="00D05D1F"/>
    <w:rsid w:val="00D22422"/>
    <w:rsid w:val="00D24628"/>
    <w:rsid w:val="00D30DAC"/>
    <w:rsid w:val="00D410C8"/>
    <w:rsid w:val="00D533CF"/>
    <w:rsid w:val="00DB1922"/>
    <w:rsid w:val="00DB2740"/>
    <w:rsid w:val="00DC5B48"/>
    <w:rsid w:val="00E01284"/>
    <w:rsid w:val="00E46D33"/>
    <w:rsid w:val="00E57B11"/>
    <w:rsid w:val="00E9568B"/>
    <w:rsid w:val="00EA3DD5"/>
    <w:rsid w:val="00EC585D"/>
    <w:rsid w:val="00ED23AD"/>
    <w:rsid w:val="00EE4FDE"/>
    <w:rsid w:val="00F3190A"/>
    <w:rsid w:val="00F33873"/>
    <w:rsid w:val="00F94645"/>
    <w:rsid w:val="00FA08A2"/>
    <w:rsid w:val="00FE2EC9"/>
    <w:rsid w:val="00FE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12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56302D"/>
    <w:pPr>
      <w:keepNext/>
      <w:pBdr>
        <w:top w:val="none" w:sz="0" w:space="0" w:color="auto"/>
        <w:left w:val="none" w:sz="0" w:space="0" w:color="auto"/>
        <w:bottom w:val="single" w:sz="12" w:space="1" w:color="365F91"/>
        <w:right w:val="none" w:sz="0" w:space="0" w:color="auto"/>
        <w:between w:val="none" w:sz="0" w:space="0" w:color="auto"/>
      </w:pBdr>
      <w:spacing w:line="259" w:lineRule="auto"/>
      <w:jc w:val="left"/>
      <w:outlineLvl w:val="0"/>
    </w:pPr>
    <w:rPr>
      <w:rFonts w:cs="Calibri"/>
      <w:b/>
      <w:bCs/>
      <w:caps/>
      <w:noProof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801F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/>
      <w:outlineLvl w:val="1"/>
    </w:pPr>
    <w:rPr>
      <w:b/>
      <w:bCs/>
      <w:iCs/>
      <w:u w:val="single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2672A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2672A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2672A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2672A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2672A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2672A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2672A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uiPriority w:val="99"/>
    <w:unhideWhenUsed/>
    <w:rsid w:val="007C3142"/>
    <w:rPr>
      <w:rFonts w:ascii="Tahoma" w:hAnsi="Tahoma" w:cs="Tahoma"/>
      <w:b/>
      <w:bCs/>
      <w:strike w:val="0"/>
      <w:dstrike w:val="0"/>
      <w:color w:val="E95830"/>
      <w:sz w:val="17"/>
      <w:szCs w:val="17"/>
      <w:u w:val="none"/>
    </w:rPr>
  </w:style>
  <w:style w:type="character" w:customStyle="1" w:styleId="ListaszerbekezdsChar">
    <w:name w:val="Listaszerű bekezdés Char"/>
    <w:link w:val="Listaszerbekezds"/>
    <w:uiPriority w:val="34"/>
    <w:qFormat/>
    <w:rsid w:val="007C3142"/>
    <w:rPr>
      <w:rFonts w:ascii="Calibri" w:eastAsia="Calibri" w:hAnsi="Calibri"/>
    </w:rPr>
  </w:style>
  <w:style w:type="paragraph" w:styleId="NormlWeb">
    <w:name w:val="Normal (Web)"/>
    <w:basedOn w:val="Norml"/>
    <w:uiPriority w:val="99"/>
    <w:unhideWhenUsed/>
    <w:qFormat/>
    <w:rsid w:val="007C3142"/>
    <w:pPr>
      <w:spacing w:beforeAutospacing="1" w:afterAutospacing="1"/>
    </w:pPr>
  </w:style>
  <w:style w:type="paragraph" w:styleId="Listaszerbekezds">
    <w:name w:val="List Paragraph"/>
    <w:basedOn w:val="Norml"/>
    <w:link w:val="ListaszerbekezdsChar"/>
    <w:uiPriority w:val="34"/>
    <w:qFormat/>
    <w:rsid w:val="007C3142"/>
    <w:pPr>
      <w:ind w:left="720"/>
    </w:pPr>
    <w:rPr>
      <w:rFonts w:eastAsia="Calibri" w:cstheme="minorBidi"/>
      <w:sz w:val="22"/>
      <w:szCs w:val="22"/>
      <w:lang w:eastAsia="en-US"/>
    </w:rPr>
  </w:style>
  <w:style w:type="paragraph" w:customStyle="1" w:styleId="listitem">
    <w:name w:val="listitem"/>
    <w:basedOn w:val="Norml"/>
    <w:qFormat/>
    <w:rsid w:val="007C3142"/>
    <w:pPr>
      <w:spacing w:beforeAutospacing="1" w:afterAutospacing="1"/>
      <w:jc w:val="left"/>
    </w:pPr>
  </w:style>
  <w:style w:type="character" w:styleId="Hiperhivatkozs">
    <w:name w:val="Hyperlink"/>
    <w:basedOn w:val="Bekezdsalapbettpusa"/>
    <w:uiPriority w:val="99"/>
    <w:unhideWhenUsed/>
    <w:rsid w:val="00E57B11"/>
    <w:rPr>
      <w:color w:val="0563C1" w:themeColor="hyperlink"/>
      <w:u w:val="single"/>
    </w:rPr>
  </w:style>
  <w:style w:type="paragraph" w:customStyle="1" w:styleId="font8">
    <w:name w:val="font_8"/>
    <w:basedOn w:val="Norml"/>
    <w:rsid w:val="005770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CC4B1C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C767D1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C767D1"/>
    <w:rPr>
      <w:rFonts w:ascii="Calibri" w:eastAsia="Times New Roman" w:hAnsi="Calibri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767D1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C767D1"/>
    <w:rPr>
      <w:rFonts w:ascii="Calibri" w:eastAsia="Times New Roman" w:hAnsi="Calibri" w:cs="Times New Roman"/>
      <w:sz w:val="24"/>
      <w:szCs w:val="24"/>
      <w:lang w:eastAsia="hu-HU"/>
    </w:rPr>
  </w:style>
  <w:style w:type="character" w:customStyle="1" w:styleId="lfejChar1">
    <w:name w:val="Élőfej Char1"/>
    <w:basedOn w:val="Bekezdsalapbettpusa"/>
    <w:uiPriority w:val="99"/>
    <w:rsid w:val="00C343EF"/>
    <w:rPr>
      <w:rFonts w:ascii="Calibri" w:eastAsia="Times New Roman" w:hAnsi="Calibri" w:cs="Times New Roman"/>
      <w:sz w:val="24"/>
      <w:szCs w:val="24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C343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00" w:after="600"/>
      <w:contextualSpacing/>
      <w:jc w:val="center"/>
    </w:pPr>
    <w:rPr>
      <w:rFonts w:eastAsiaTheme="majorEastAsia"/>
      <w:b/>
      <w:color w:val="323E4F" w:themeColor="text2" w:themeShade="BF"/>
      <w:spacing w:val="5"/>
      <w:kern w:val="28"/>
      <w:sz w:val="28"/>
      <w:szCs w:val="52"/>
    </w:rPr>
  </w:style>
  <w:style w:type="character" w:customStyle="1" w:styleId="CmChar">
    <w:name w:val="Cím Char"/>
    <w:basedOn w:val="Bekezdsalapbettpusa"/>
    <w:link w:val="Cm"/>
    <w:uiPriority w:val="10"/>
    <w:rsid w:val="00C343EF"/>
    <w:rPr>
      <w:rFonts w:ascii="Times New Roman" w:eastAsiaTheme="majorEastAsia" w:hAnsi="Times New Roman" w:cs="Times New Roman"/>
      <w:b/>
      <w:color w:val="323E4F" w:themeColor="text2" w:themeShade="BF"/>
      <w:spacing w:val="5"/>
      <w:kern w:val="28"/>
      <w:sz w:val="28"/>
      <w:szCs w:val="52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56302D"/>
    <w:rPr>
      <w:rFonts w:ascii="Times New Roman" w:eastAsia="Times New Roman" w:hAnsi="Times New Roman" w:cs="Calibri"/>
      <w:b/>
      <w:bCs/>
      <w:caps/>
      <w:noProof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B2672A"/>
    <w:rPr>
      <w:rFonts w:ascii="Times New Roman" w:eastAsia="Times New Roman" w:hAnsi="Times New Roman" w:cs="Times New Roman"/>
      <w:b/>
      <w:bCs/>
      <w:iCs/>
      <w:sz w:val="24"/>
      <w:szCs w:val="24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2672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2672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2672A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2672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2672A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2672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2672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fe.hu/adatkezel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fe.hu/adatvedele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2021-08-19T06:40:00Z</dcterms:created>
  <dcterms:modified xsi:type="dcterms:W3CDTF">2021-08-19T06:41:00Z</dcterms:modified>
</cp:coreProperties>
</file>